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0D" w:rsidRPr="00CB7E85" w:rsidRDefault="008D670D" w:rsidP="00302BD5">
      <w:pPr>
        <w:adjustRightInd w:val="0"/>
        <w:snapToGrid w:val="0"/>
        <w:spacing w:afterLines="100" w:after="312"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B7E85">
        <w:rPr>
          <w:rFonts w:ascii="黑体" w:eastAsia="黑体" w:hAnsi="黑体" w:cs="方正小标宋简体" w:hint="eastAsia"/>
          <w:sz w:val="44"/>
          <w:szCs w:val="44"/>
        </w:rPr>
        <w:t>机关党委党费</w:t>
      </w:r>
      <w:r w:rsidR="008A1AD9" w:rsidRPr="00CB7E85">
        <w:rPr>
          <w:rFonts w:ascii="黑体" w:eastAsia="黑体" w:hAnsi="黑体" w:cs="方正小标宋简体" w:hint="eastAsia"/>
          <w:sz w:val="44"/>
          <w:szCs w:val="44"/>
        </w:rPr>
        <w:t>使用</w:t>
      </w:r>
      <w:r w:rsidR="009E059B" w:rsidRPr="00CB7E85">
        <w:rPr>
          <w:rFonts w:ascii="黑体" w:eastAsia="黑体" w:hAnsi="黑体" w:cs="方正小标宋简体" w:hint="eastAsia"/>
          <w:sz w:val="44"/>
          <w:szCs w:val="44"/>
        </w:rPr>
        <w:t>申请</w:t>
      </w:r>
      <w:r w:rsidRPr="00CB7E85">
        <w:rPr>
          <w:rFonts w:ascii="黑体" w:eastAsia="黑体" w:hAnsi="黑体" w:cs="方正小标宋简体" w:hint="eastAsia"/>
          <w:sz w:val="44"/>
          <w:szCs w:val="44"/>
        </w:rPr>
        <w:t>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2126"/>
      </w:tblGrid>
      <w:tr w:rsidR="008D670D" w:rsidRPr="00F40E63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:rsidR="008D670D" w:rsidRPr="00103EF4" w:rsidRDefault="008D670D" w:rsidP="00103EF4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103EF4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8D670D" w:rsidRPr="00302BD5" w:rsidRDefault="008D670D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</w:tc>
      </w:tr>
      <w:tr w:rsidR="008D670D" w:rsidRPr="00B70CFA" w:rsidTr="00AA21B6">
        <w:trPr>
          <w:trHeight w:val="275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103EF4" w:rsidRDefault="008D670D" w:rsidP="00103EF4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103EF4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报销事由</w:t>
            </w:r>
          </w:p>
          <w:p w:rsidR="008D670D" w:rsidRPr="00103EF4" w:rsidRDefault="008D670D" w:rsidP="00103EF4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103EF4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（活动主题与内容）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8D670D" w:rsidRPr="00302BD5" w:rsidRDefault="008D670D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  <w:p w:rsidR="00103EF4" w:rsidRPr="00302BD5" w:rsidRDefault="00103EF4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  <w:p w:rsidR="00103EF4" w:rsidRPr="00302BD5" w:rsidRDefault="00103EF4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  <w:p w:rsidR="00103EF4" w:rsidRPr="00302BD5" w:rsidRDefault="00103EF4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  <w:p w:rsidR="00103EF4" w:rsidRPr="00302BD5" w:rsidRDefault="00103EF4" w:rsidP="00103EF4">
            <w:pPr>
              <w:widowControl/>
              <w:snapToGrid w:val="0"/>
              <w:spacing w:line="320" w:lineRule="exact"/>
              <w:jc w:val="left"/>
              <w:rPr>
                <w:rFonts w:ascii="等线" w:hAnsi="等线" w:cs="宋体"/>
                <w:color w:val="000000"/>
                <w:kern w:val="0"/>
                <w:sz w:val="28"/>
              </w:rPr>
            </w:pPr>
          </w:p>
        </w:tc>
      </w:tr>
      <w:tr w:rsidR="008D670D" w:rsidRPr="00B70CFA" w:rsidTr="00AA21B6">
        <w:trPr>
          <w:trHeight w:hRule="exact" w:val="1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103EF4" w:rsidRDefault="008D670D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103EF4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活动涵盖范围</w:t>
            </w:r>
          </w:p>
          <w:p w:rsidR="008D670D" w:rsidRPr="00103EF4" w:rsidRDefault="008D670D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103EF4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及党员人数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8D670D" w:rsidRPr="00302BD5" w:rsidRDefault="008D670D" w:rsidP="00103EF4">
            <w:pPr>
              <w:widowControl/>
              <w:snapToGrid w:val="0"/>
              <w:spacing w:line="320" w:lineRule="exact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AA21B6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费用类型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AA21B6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  <w:szCs w:val="28"/>
              </w:rPr>
            </w:pPr>
            <w:r w:rsidRPr="00AA21B6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费用</w:t>
            </w:r>
            <w:r w:rsidR="0075191B" w:rsidRPr="00AA21B6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简要</w:t>
            </w:r>
            <w:r w:rsidRPr="00AA21B6">
              <w:rPr>
                <w:rFonts w:ascii="等线" w:hAnsi="等线" w:cs="宋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8D670D" w:rsidP="00AA21B6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670D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8D670D" w:rsidRPr="00AA21B6" w:rsidRDefault="008D670D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103EF4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03EF4" w:rsidRPr="00AA21B6" w:rsidRDefault="0075191B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A21B6">
              <w:rPr>
                <w:color w:val="000000"/>
                <w:kern w:val="0"/>
                <w:sz w:val="28"/>
                <w:szCs w:val="28"/>
              </w:rPr>
              <w:t>申请</w:t>
            </w:r>
            <w:r w:rsidR="00103EF4" w:rsidRPr="00AA21B6">
              <w:rPr>
                <w:color w:val="000000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A21B6">
              <w:rPr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3EF4" w:rsidRPr="007C2FAB" w:rsidRDefault="00103EF4" w:rsidP="00AA21B6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03EF4" w:rsidRPr="00B70CFA" w:rsidTr="00AA21B6">
        <w:trPr>
          <w:trHeight w:hRule="exact" w:val="7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A21B6">
              <w:rPr>
                <w:color w:val="000000"/>
                <w:kern w:val="0"/>
                <w:sz w:val="28"/>
                <w:szCs w:val="28"/>
              </w:rPr>
              <w:t>经办人签字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A21B6">
              <w:rPr>
                <w:color w:val="000000"/>
                <w:kern w:val="0"/>
                <w:sz w:val="28"/>
                <w:szCs w:val="28"/>
              </w:rPr>
              <w:t>党支部书记签字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3EF4" w:rsidRPr="00AA21B6" w:rsidRDefault="00103EF4" w:rsidP="00103EF4">
            <w:pPr>
              <w:widowControl/>
              <w:snapToGrid w:val="0"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5191B" w:rsidRPr="00B70CFA" w:rsidTr="00AA21B6">
        <w:trPr>
          <w:trHeight w:hRule="exact" w:val="140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5191B" w:rsidRPr="00103EF4" w:rsidRDefault="0075191B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8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8"/>
              </w:rPr>
              <w:t>机关党委意见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75191B" w:rsidRPr="00103EF4" w:rsidRDefault="0075191B" w:rsidP="00103EF4">
            <w:pPr>
              <w:widowControl/>
              <w:snapToGrid w:val="0"/>
              <w:spacing w:line="320" w:lineRule="exact"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</w:tbl>
    <w:p w:rsidR="0075191B" w:rsidRDefault="008D670D" w:rsidP="00302BD5">
      <w:pPr>
        <w:spacing w:line="480" w:lineRule="exact"/>
        <w:rPr>
          <w:rFonts w:ascii="等线" w:hAnsi="等线" w:cs="宋体"/>
          <w:color w:val="000000"/>
          <w:kern w:val="0"/>
          <w:sz w:val="28"/>
        </w:rPr>
      </w:pPr>
      <w:r w:rsidRPr="00C572DF">
        <w:rPr>
          <w:rFonts w:ascii="等线" w:hAnsi="等线" w:cs="宋体" w:hint="eastAsia"/>
          <w:color w:val="000000"/>
          <w:kern w:val="0"/>
          <w:sz w:val="28"/>
        </w:rPr>
        <w:t>注：</w:t>
      </w:r>
      <w:r w:rsidR="00302BD5">
        <w:rPr>
          <w:rFonts w:ascii="等线" w:hAnsi="等线" w:cs="宋体" w:hint="eastAsia"/>
          <w:color w:val="000000"/>
          <w:kern w:val="0"/>
          <w:sz w:val="28"/>
        </w:rPr>
        <w:t>党费支出坚持先报计划、后使用，谁使用、谁签字、谁负责原则。</w:t>
      </w:r>
      <w:r w:rsidRPr="00C572DF">
        <w:rPr>
          <w:rFonts w:ascii="等线" w:hAnsi="等线" w:cs="宋体" w:hint="eastAsia"/>
          <w:color w:val="000000"/>
          <w:kern w:val="0"/>
          <w:sz w:val="28"/>
        </w:rPr>
        <w:t>费用类型参照</w:t>
      </w:r>
      <w:r w:rsidR="00254CB5" w:rsidRPr="00C572DF">
        <w:rPr>
          <w:rFonts w:ascii="等线" w:hAnsi="等线" w:cs="宋体" w:hint="eastAsia"/>
          <w:color w:val="000000"/>
          <w:kern w:val="0"/>
          <w:sz w:val="28"/>
        </w:rPr>
        <w:t>附件：党费使用范围（摘录）</w:t>
      </w:r>
      <w:r w:rsidRPr="00C572DF">
        <w:rPr>
          <w:rFonts w:ascii="等线" w:hAnsi="等线" w:cs="宋体" w:hint="eastAsia"/>
          <w:color w:val="000000"/>
          <w:kern w:val="0"/>
          <w:sz w:val="28"/>
        </w:rPr>
        <w:t>。</w:t>
      </w:r>
    </w:p>
    <w:p w:rsidR="00AB4BA7" w:rsidRPr="00C572DF" w:rsidRDefault="00AB4BA7" w:rsidP="00AB4BA7">
      <w:pPr>
        <w:spacing w:line="580" w:lineRule="exact"/>
        <w:rPr>
          <w:rFonts w:ascii="黑体" w:eastAsia="黑体" w:hAnsi="黑体"/>
          <w:sz w:val="32"/>
          <w:szCs w:val="32"/>
        </w:rPr>
      </w:pPr>
      <w:r w:rsidRPr="00C572DF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AB4BA7" w:rsidRPr="00CB7E85" w:rsidRDefault="00AB4BA7" w:rsidP="00AB4BA7">
      <w:pPr>
        <w:adjustRightInd w:val="0"/>
        <w:snapToGrid w:val="0"/>
        <w:spacing w:afterLines="150" w:after="468"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B7E85">
        <w:rPr>
          <w:rFonts w:ascii="黑体" w:eastAsia="黑体" w:hAnsi="黑体" w:cs="方正小标宋简体" w:hint="eastAsia"/>
          <w:sz w:val="44"/>
          <w:szCs w:val="44"/>
        </w:rPr>
        <w:t>党费使用范围（摘录）</w:t>
      </w:r>
    </w:p>
    <w:p w:rsidR="00AB4BA7" w:rsidRPr="00DB76CC" w:rsidRDefault="00AB4BA7" w:rsidP="00C572DF">
      <w:pPr>
        <w:pStyle w:val="a3"/>
        <w:adjustRightInd w:val="0"/>
        <w:snapToGrid w:val="0"/>
        <w:spacing w:line="620" w:lineRule="exact"/>
        <w:ind w:firstLineChars="200" w:firstLine="640"/>
        <w:rPr>
          <w:rFonts w:ascii="黑体" w:eastAsia="黑体"/>
        </w:rPr>
      </w:pPr>
      <w:r w:rsidRPr="00DB76CC">
        <w:rPr>
          <w:rFonts w:ascii="黑体" w:eastAsia="黑体" w:hint="eastAsia"/>
        </w:rPr>
        <w:t>一、哈尔滨工业大学党费</w:t>
      </w:r>
      <w:r w:rsidRPr="00DB76CC">
        <w:rPr>
          <w:rFonts w:ascii="Times New Roman" w:eastAsia="黑体" w:hAnsi="Times New Roman" w:cs="Times New Roman"/>
        </w:rPr>
        <w:t>收缴、使用和管理暂行办法（哈工大党组〔</w:t>
      </w:r>
      <w:r w:rsidRPr="00DB76CC">
        <w:rPr>
          <w:rFonts w:ascii="Times New Roman" w:eastAsia="黑体" w:hAnsi="Times New Roman" w:cs="Times New Roman"/>
        </w:rPr>
        <w:t>2017</w:t>
      </w:r>
      <w:r w:rsidRPr="00DB76CC">
        <w:rPr>
          <w:rFonts w:ascii="Times New Roman" w:eastAsia="黑体" w:hAnsi="Times New Roman" w:cs="Times New Roman"/>
        </w:rPr>
        <w:t>〕</w:t>
      </w:r>
      <w:r w:rsidRPr="00DB76CC">
        <w:rPr>
          <w:rFonts w:ascii="Times New Roman" w:eastAsia="黑体" w:hAnsi="Times New Roman" w:cs="Times New Roman"/>
        </w:rPr>
        <w:t>67</w:t>
      </w:r>
      <w:r w:rsidRPr="00DB76CC">
        <w:rPr>
          <w:rFonts w:ascii="Times New Roman" w:eastAsia="黑体" w:hAnsi="Times New Roman" w:cs="Times New Roman"/>
        </w:rPr>
        <w:t>号）</w:t>
      </w:r>
    </w:p>
    <w:p w:rsidR="00AB4BA7" w:rsidRPr="00171DDF" w:rsidRDefault="00AB4BA7" w:rsidP="00C572DF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76CC">
        <w:rPr>
          <w:rFonts w:eastAsia="黑体" w:hint="eastAsia"/>
          <w:sz w:val="32"/>
          <w:szCs w:val="32"/>
        </w:rPr>
        <w:t>第十七条</w:t>
      </w:r>
      <w:r w:rsidRPr="00171DDF">
        <w:rPr>
          <w:rFonts w:ascii="仿宋" w:eastAsia="仿宋" w:hAnsi="仿宋" w:hint="eastAsia"/>
          <w:sz w:val="32"/>
          <w:szCs w:val="32"/>
        </w:rPr>
        <w:t xml:space="preserve"> 党费必须</w:t>
      </w:r>
      <w:proofErr w:type="gramStart"/>
      <w:r w:rsidRPr="00171DDF">
        <w:rPr>
          <w:rFonts w:ascii="仿宋" w:eastAsia="仿宋" w:hAnsi="仿宋" w:hint="eastAsia"/>
          <w:sz w:val="32"/>
          <w:szCs w:val="32"/>
        </w:rPr>
        <w:t>用于党</w:t>
      </w:r>
      <w:proofErr w:type="gramEnd"/>
      <w:r w:rsidRPr="00171DDF">
        <w:rPr>
          <w:rFonts w:ascii="仿宋" w:eastAsia="仿宋" w:hAnsi="仿宋" w:hint="eastAsia"/>
          <w:sz w:val="32"/>
          <w:szCs w:val="32"/>
        </w:rPr>
        <w:t>的活动，主要作为党员教育经费的补充，其具体使用范围包括：</w:t>
      </w:r>
    </w:p>
    <w:p w:rsidR="00AB4BA7" w:rsidRPr="00171DDF" w:rsidRDefault="00AB4BA7" w:rsidP="00C572DF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1DDF">
        <w:rPr>
          <w:rFonts w:ascii="仿宋" w:eastAsia="仿宋" w:hAnsi="仿宋" w:hint="eastAsia"/>
          <w:sz w:val="32"/>
          <w:szCs w:val="32"/>
        </w:rPr>
        <w:t>（1）教育培训党员和入党积极分子、基层党务工作者所产生的住宿费、伙食费、交通费、师资费、场地费、资料费、门票费、讲解费等。</w:t>
      </w:r>
    </w:p>
    <w:p w:rsidR="00AB4BA7" w:rsidRPr="00171DDF" w:rsidRDefault="00AB4BA7" w:rsidP="00C572DF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1DDF">
        <w:rPr>
          <w:rFonts w:ascii="仿宋" w:eastAsia="仿宋" w:hAnsi="仿宋" w:hint="eastAsia"/>
          <w:sz w:val="32"/>
          <w:szCs w:val="32"/>
        </w:rPr>
        <w:t>（2）订阅或购买用于开展党员教育的报刊、资料、音像制品和设备；开展“三会一课”、党组织换届以及党内集中学习教育所产生的会议费等；编印党员教育培训教材和印制入党志愿书、党员组织关系介绍信、党员证明信、流动党员活动证、党费证、党员档案等所产生的工本费，以及购买党徽党旗等费用。</w:t>
      </w:r>
    </w:p>
    <w:p w:rsidR="00AB4BA7" w:rsidRPr="00171DDF" w:rsidRDefault="00AB4BA7" w:rsidP="00C572DF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1DDF">
        <w:rPr>
          <w:rFonts w:ascii="仿宋" w:eastAsia="仿宋" w:hAnsi="仿宋" w:hint="eastAsia"/>
          <w:sz w:val="32"/>
          <w:szCs w:val="32"/>
        </w:rPr>
        <w:t>（3）党内表彰所需费用。</w:t>
      </w:r>
    </w:p>
    <w:p w:rsidR="00AB4BA7" w:rsidRPr="00171DDF" w:rsidRDefault="00AB4BA7" w:rsidP="00C572DF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1DDF">
        <w:rPr>
          <w:rFonts w:ascii="仿宋" w:eastAsia="仿宋" w:hAnsi="仿宋" w:hint="eastAsia"/>
          <w:sz w:val="32"/>
          <w:szCs w:val="32"/>
        </w:rPr>
        <w:t>（4）补助生活困难的党员。</w:t>
      </w:r>
    </w:p>
    <w:p w:rsidR="0075191B" w:rsidRDefault="00AB4BA7" w:rsidP="0075191B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1DDF">
        <w:rPr>
          <w:rFonts w:ascii="仿宋" w:eastAsia="仿宋" w:hAnsi="仿宋" w:hint="eastAsia"/>
          <w:sz w:val="32"/>
          <w:szCs w:val="32"/>
        </w:rPr>
        <w:t>（5）补助遭受严重自然灾害的党员和</w:t>
      </w:r>
      <w:proofErr w:type="gramStart"/>
      <w:r w:rsidRPr="00171DDF">
        <w:rPr>
          <w:rFonts w:ascii="仿宋" w:eastAsia="仿宋" w:hAnsi="仿宋" w:hint="eastAsia"/>
          <w:sz w:val="32"/>
          <w:szCs w:val="32"/>
        </w:rPr>
        <w:t>修缮因</w:t>
      </w:r>
      <w:proofErr w:type="gramEnd"/>
      <w:r w:rsidRPr="00171DDF">
        <w:rPr>
          <w:rFonts w:ascii="仿宋" w:eastAsia="仿宋" w:hAnsi="仿宋" w:hint="eastAsia"/>
          <w:sz w:val="32"/>
          <w:szCs w:val="32"/>
        </w:rPr>
        <w:t>灾受损的基层党员教育设施。修缮、新建基层党组织活动场所、为活动场所配置必要设施等所产生的相关费用。</w:t>
      </w:r>
    </w:p>
    <w:p w:rsidR="0075191B" w:rsidRDefault="0075191B" w:rsidP="0075191B">
      <w:pPr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B4BA7" w:rsidRPr="00DB76CC" w:rsidRDefault="00AB4BA7" w:rsidP="00C572DF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</w:rPr>
      </w:pPr>
      <w:r w:rsidRPr="00DB76CC">
        <w:rPr>
          <w:rFonts w:ascii="Times New Roman" w:eastAsia="黑体" w:hAnsi="Times New Roman" w:cs="Times New Roman" w:hint="eastAsia"/>
        </w:rPr>
        <w:lastRenderedPageBreak/>
        <w:t>二、哈尔滨工业大学基层党组织党建活动经费管理办法（哈工大党组〔</w:t>
      </w:r>
      <w:r w:rsidRPr="00DB76CC">
        <w:rPr>
          <w:rFonts w:ascii="Times New Roman" w:eastAsia="黑体" w:hAnsi="Times New Roman" w:cs="Times New Roman" w:hint="eastAsia"/>
        </w:rPr>
        <w:t>201</w:t>
      </w:r>
      <w:r w:rsidRPr="00DB76CC">
        <w:rPr>
          <w:rFonts w:ascii="Times New Roman" w:eastAsia="黑体" w:hAnsi="Times New Roman" w:cs="Times New Roman"/>
        </w:rPr>
        <w:t>9</w:t>
      </w:r>
      <w:r w:rsidRPr="00DB76CC">
        <w:rPr>
          <w:rFonts w:ascii="Times New Roman" w:eastAsia="黑体" w:hAnsi="Times New Roman" w:cs="Times New Roman" w:hint="eastAsia"/>
        </w:rPr>
        <w:t>〕</w:t>
      </w:r>
      <w:r w:rsidRPr="00DB76CC">
        <w:rPr>
          <w:rFonts w:ascii="Times New Roman" w:eastAsia="黑体" w:hAnsi="Times New Roman" w:cs="Times New Roman" w:hint="eastAsia"/>
        </w:rPr>
        <w:t>11</w:t>
      </w:r>
      <w:r w:rsidRPr="00DB76CC">
        <w:rPr>
          <w:rFonts w:ascii="Times New Roman" w:eastAsia="黑体" w:hAnsi="Times New Roman" w:cs="Times New Roman" w:hint="eastAsia"/>
        </w:rPr>
        <w:t>号）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287668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六</w:t>
      </w:r>
      <w:r w:rsidRPr="00287668">
        <w:rPr>
          <w:rFonts w:eastAsia="黑体"/>
          <w:sz w:val="32"/>
          <w:szCs w:val="32"/>
        </w:rPr>
        <w:t>条</w:t>
      </w:r>
      <w:r w:rsidRPr="00287668">
        <w:rPr>
          <w:rFonts w:eastAsia="黑体"/>
          <w:sz w:val="32"/>
          <w:szCs w:val="32"/>
        </w:rPr>
        <w:t xml:space="preserve"> </w:t>
      </w:r>
      <w:r w:rsidRPr="00287668">
        <w:rPr>
          <w:rFonts w:eastAsia="仿宋" w:hint="eastAsia"/>
          <w:sz w:val="32"/>
          <w:szCs w:val="32"/>
        </w:rPr>
        <w:t>基层党组织</w:t>
      </w:r>
      <w:r w:rsidRPr="00287668">
        <w:rPr>
          <w:rFonts w:eastAsia="仿宋"/>
          <w:sz w:val="32"/>
          <w:szCs w:val="32"/>
        </w:rPr>
        <w:t>党建活动经费支出项目包括：</w:t>
      </w:r>
      <w:r w:rsidRPr="0096034E">
        <w:rPr>
          <w:rFonts w:eastAsia="仿宋"/>
          <w:sz w:val="32"/>
          <w:szCs w:val="32"/>
        </w:rPr>
        <w:t>租车费、城市间交通费、伙食费、住宿费、场地费、讲课费、</w:t>
      </w:r>
      <w:r>
        <w:rPr>
          <w:rFonts w:eastAsia="仿宋" w:hint="eastAsia"/>
          <w:sz w:val="32"/>
          <w:szCs w:val="32"/>
        </w:rPr>
        <w:t>培训费、</w:t>
      </w:r>
      <w:r w:rsidRPr="0096034E">
        <w:rPr>
          <w:rFonts w:eastAsia="仿宋"/>
          <w:sz w:val="32"/>
          <w:szCs w:val="32"/>
        </w:rPr>
        <w:t>资料费</w:t>
      </w:r>
      <w:r w:rsidRPr="0096034E">
        <w:rPr>
          <w:rFonts w:eastAsia="仿宋" w:hint="eastAsia"/>
          <w:sz w:val="32"/>
          <w:szCs w:val="32"/>
        </w:rPr>
        <w:t>、门票费、讲解费</w:t>
      </w:r>
      <w:r w:rsidRPr="0096034E">
        <w:rPr>
          <w:rFonts w:eastAsia="仿宋"/>
          <w:sz w:val="32"/>
          <w:szCs w:val="32"/>
        </w:rPr>
        <w:t>和其他费用。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（一）租车费是</w:t>
      </w:r>
      <w:proofErr w:type="gramStart"/>
      <w:r w:rsidRPr="0096034E">
        <w:rPr>
          <w:rFonts w:eastAsia="仿宋"/>
          <w:sz w:val="32"/>
          <w:szCs w:val="32"/>
        </w:rPr>
        <w:t>指开展</w:t>
      </w:r>
      <w:proofErr w:type="gramEnd"/>
      <w:r w:rsidRPr="0096034E">
        <w:rPr>
          <w:rFonts w:eastAsia="仿宋"/>
          <w:sz w:val="32"/>
          <w:szCs w:val="32"/>
        </w:rPr>
        <w:t>党建活动需集体出行发生的租车费用。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（二）城市间交通费是指到市外开展党建活动发生的城市间交通支出。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（三）伙食费是</w:t>
      </w:r>
      <w:proofErr w:type="gramStart"/>
      <w:r w:rsidRPr="0096034E">
        <w:rPr>
          <w:rFonts w:eastAsia="仿宋"/>
          <w:sz w:val="32"/>
          <w:szCs w:val="32"/>
        </w:rPr>
        <w:t>指开展</w:t>
      </w:r>
      <w:proofErr w:type="gramEnd"/>
      <w:r w:rsidRPr="0096034E">
        <w:rPr>
          <w:rFonts w:eastAsia="仿宋"/>
          <w:sz w:val="32"/>
          <w:szCs w:val="32"/>
        </w:rPr>
        <w:t>党建活动期间发生的用餐费用。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（四）住宿费是</w:t>
      </w:r>
      <w:proofErr w:type="gramStart"/>
      <w:r w:rsidRPr="0096034E">
        <w:rPr>
          <w:rFonts w:eastAsia="仿宋"/>
          <w:sz w:val="32"/>
          <w:szCs w:val="32"/>
        </w:rPr>
        <w:t>指开展</w:t>
      </w:r>
      <w:proofErr w:type="gramEnd"/>
      <w:r w:rsidRPr="0096034E">
        <w:rPr>
          <w:rFonts w:eastAsia="仿宋"/>
          <w:sz w:val="32"/>
          <w:szCs w:val="32"/>
        </w:rPr>
        <w:t>党建活动期间发生的租住房间的费用。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（五）场地费是指用于党建活动的会议室、活动场地租金。</w:t>
      </w:r>
    </w:p>
    <w:p w:rsidR="00AB4BA7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（六）讲课费</w:t>
      </w:r>
      <w:proofErr w:type="gramStart"/>
      <w:r w:rsidRPr="0096034E">
        <w:rPr>
          <w:rFonts w:eastAsia="仿宋"/>
          <w:sz w:val="32"/>
          <w:szCs w:val="32"/>
        </w:rPr>
        <w:t>是指请师资</w:t>
      </w:r>
      <w:proofErr w:type="gramEnd"/>
      <w:r w:rsidRPr="0096034E">
        <w:rPr>
          <w:rFonts w:eastAsia="仿宋"/>
          <w:sz w:val="32"/>
          <w:szCs w:val="32"/>
        </w:rPr>
        <w:t>为</w:t>
      </w:r>
      <w:r w:rsidRPr="00BF287F">
        <w:rPr>
          <w:rFonts w:eastAsia="仿宋"/>
          <w:sz w:val="32"/>
          <w:szCs w:val="32"/>
        </w:rPr>
        <w:t>党员</w:t>
      </w:r>
      <w:r w:rsidRPr="00BF287F">
        <w:rPr>
          <w:rFonts w:eastAsia="仿宋" w:hint="eastAsia"/>
          <w:sz w:val="32"/>
          <w:szCs w:val="32"/>
        </w:rPr>
        <w:t>等</w:t>
      </w:r>
      <w:r w:rsidRPr="0096034E">
        <w:rPr>
          <w:rFonts w:eastAsia="仿宋"/>
          <w:sz w:val="32"/>
          <w:szCs w:val="32"/>
        </w:rPr>
        <w:t>授课所支付的费用。</w:t>
      </w:r>
    </w:p>
    <w:p w:rsidR="00AB4BA7" w:rsidRPr="00A17C1D" w:rsidRDefault="00AB4BA7" w:rsidP="00C572DF">
      <w:pPr>
        <w:snapToGrid w:val="0"/>
        <w:spacing w:line="600" w:lineRule="exact"/>
        <w:ind w:firstLineChars="200" w:firstLine="640"/>
        <w:rPr>
          <w:rFonts w:eastAsia="仿宋"/>
          <w:color w:val="0070C0"/>
          <w:sz w:val="32"/>
          <w:szCs w:val="32"/>
        </w:rPr>
      </w:pPr>
      <w:r>
        <w:rPr>
          <w:rFonts w:eastAsia="仿宋" w:hint="eastAsia"/>
          <w:sz w:val="32"/>
          <w:szCs w:val="32"/>
        </w:rPr>
        <w:t>（七）培训费是指</w:t>
      </w:r>
      <w:r w:rsidRPr="0096034E">
        <w:rPr>
          <w:rFonts w:eastAsia="仿宋" w:hint="eastAsia"/>
          <w:sz w:val="32"/>
          <w:szCs w:val="32"/>
        </w:rPr>
        <w:t>委托具有资质的党员教育培训机构或基地开展培训</w:t>
      </w:r>
      <w:r>
        <w:rPr>
          <w:rFonts w:eastAsia="仿宋" w:hint="eastAsia"/>
          <w:sz w:val="32"/>
          <w:szCs w:val="32"/>
        </w:rPr>
        <w:t>所产生的费用。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八</w:t>
      </w:r>
      <w:r w:rsidRPr="0096034E">
        <w:rPr>
          <w:rFonts w:eastAsia="仿宋"/>
          <w:sz w:val="32"/>
          <w:szCs w:val="32"/>
        </w:rPr>
        <w:t>）资料费是指为党员学习教育集中购买的培训资料费用。</w:t>
      </w:r>
    </w:p>
    <w:p w:rsidR="00AB4BA7" w:rsidRPr="0096034E" w:rsidRDefault="00AB4BA7" w:rsidP="00C572DF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96034E"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九</w:t>
      </w:r>
      <w:r w:rsidRPr="0096034E">
        <w:rPr>
          <w:rFonts w:eastAsia="仿宋" w:hint="eastAsia"/>
          <w:sz w:val="32"/>
          <w:szCs w:val="32"/>
        </w:rPr>
        <w:t>）门票费是指党员学习、参观活动集中购买的门票费用。</w:t>
      </w:r>
    </w:p>
    <w:p w:rsidR="008D670D" w:rsidRPr="00AB4BA7" w:rsidRDefault="00AB4BA7" w:rsidP="00C572DF">
      <w:pPr>
        <w:snapToGrid w:val="0"/>
        <w:spacing w:line="600" w:lineRule="exact"/>
        <w:ind w:firstLineChars="200" w:firstLine="640"/>
      </w:pPr>
      <w:r w:rsidRPr="0096034E"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十</w:t>
      </w:r>
      <w:r w:rsidRPr="0096034E">
        <w:rPr>
          <w:rFonts w:eastAsia="仿宋" w:hint="eastAsia"/>
          <w:sz w:val="32"/>
          <w:szCs w:val="32"/>
        </w:rPr>
        <w:t>）讲解费是指聘请专业人员为党员学习、参观进行讲解的费用。</w:t>
      </w:r>
    </w:p>
    <w:sectPr w:rsidR="008D670D" w:rsidRPr="00AB4BA7" w:rsidSect="00103EF4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19" w:rsidRDefault="00432519" w:rsidP="008A1AD9">
      <w:r>
        <w:separator/>
      </w:r>
    </w:p>
  </w:endnote>
  <w:endnote w:type="continuationSeparator" w:id="0">
    <w:p w:rsidR="00432519" w:rsidRDefault="00432519" w:rsidP="008A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038194"/>
      <w:docPartObj>
        <w:docPartGallery w:val="Page Numbers (Bottom of Page)"/>
        <w:docPartUnique/>
      </w:docPartObj>
    </w:sdtPr>
    <w:sdtEndPr/>
    <w:sdtContent>
      <w:p w:rsidR="00103EF4" w:rsidRDefault="00103EF4">
        <w:pPr>
          <w:pStyle w:val="a7"/>
          <w:jc w:val="center"/>
        </w:pPr>
        <w:r w:rsidRPr="00103EF4">
          <w:rPr>
            <w:sz w:val="24"/>
            <w:szCs w:val="24"/>
          </w:rPr>
          <w:fldChar w:fldCharType="begin"/>
        </w:r>
        <w:r w:rsidRPr="00103EF4">
          <w:rPr>
            <w:sz w:val="24"/>
            <w:szCs w:val="24"/>
          </w:rPr>
          <w:instrText>PAGE   \* MERGEFORMAT</w:instrText>
        </w:r>
        <w:r w:rsidRPr="00103EF4">
          <w:rPr>
            <w:sz w:val="24"/>
            <w:szCs w:val="24"/>
          </w:rPr>
          <w:fldChar w:fldCharType="separate"/>
        </w:r>
        <w:r w:rsidRPr="00103EF4">
          <w:rPr>
            <w:sz w:val="24"/>
            <w:szCs w:val="24"/>
            <w:lang w:val="zh-CN"/>
          </w:rPr>
          <w:t>2</w:t>
        </w:r>
        <w:r w:rsidRPr="00103EF4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/</w:t>
        </w:r>
        <w:r>
          <w:rPr>
            <w:sz w:val="24"/>
            <w:szCs w:val="24"/>
          </w:rPr>
          <w:t>3</w:t>
        </w:r>
      </w:p>
    </w:sdtContent>
  </w:sdt>
  <w:p w:rsidR="00103EF4" w:rsidRDefault="00103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19" w:rsidRDefault="00432519" w:rsidP="008A1AD9">
      <w:r>
        <w:separator/>
      </w:r>
    </w:p>
  </w:footnote>
  <w:footnote w:type="continuationSeparator" w:id="0">
    <w:p w:rsidR="00432519" w:rsidRDefault="00432519" w:rsidP="008A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0D"/>
    <w:rsid w:val="000A0EED"/>
    <w:rsid w:val="00103EF4"/>
    <w:rsid w:val="00254CB5"/>
    <w:rsid w:val="00302BD5"/>
    <w:rsid w:val="00432519"/>
    <w:rsid w:val="00683C6B"/>
    <w:rsid w:val="0075191B"/>
    <w:rsid w:val="007C2FAB"/>
    <w:rsid w:val="008A1AD9"/>
    <w:rsid w:val="008D670D"/>
    <w:rsid w:val="009772CC"/>
    <w:rsid w:val="0098789F"/>
    <w:rsid w:val="00991994"/>
    <w:rsid w:val="009E059B"/>
    <w:rsid w:val="00AA21B6"/>
    <w:rsid w:val="00AB4BA7"/>
    <w:rsid w:val="00C572DF"/>
    <w:rsid w:val="00CB7E85"/>
    <w:rsid w:val="00CC3004"/>
    <w:rsid w:val="00CC4CC5"/>
    <w:rsid w:val="00D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FFE82-B205-4061-8384-698B620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BA7"/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AB4BA7"/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5">
    <w:name w:val="header"/>
    <w:basedOn w:val="a"/>
    <w:link w:val="a6"/>
    <w:uiPriority w:val="99"/>
    <w:unhideWhenUsed/>
    <w:rsid w:val="008A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AD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67AF-3A52-4206-82A2-94923F2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2021-05-13T07:32:00Z</dcterms:created>
  <dcterms:modified xsi:type="dcterms:W3CDTF">2021-05-14T01:30:00Z</dcterms:modified>
</cp:coreProperties>
</file>